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4E" w:rsidRPr="005A2BBB" w:rsidRDefault="00641E4E" w:rsidP="005A2BBB">
      <w:pPr>
        <w:jc w:val="center"/>
        <w:rPr>
          <w:b/>
        </w:rPr>
      </w:pPr>
      <w:r w:rsidRPr="005A2BBB">
        <w:rPr>
          <w:b/>
        </w:rPr>
        <w:t xml:space="preserve">Вопросы </w:t>
      </w:r>
      <w:r w:rsidR="005A2BBB">
        <w:rPr>
          <w:b/>
        </w:rPr>
        <w:t>к контрольной работе</w:t>
      </w:r>
      <w:r w:rsidRPr="005A2BBB">
        <w:rPr>
          <w:b/>
        </w:rPr>
        <w:t xml:space="preserve"> по дисциплине «Управление затратами»</w:t>
      </w:r>
    </w:p>
    <w:p w:rsidR="00641E4E" w:rsidRPr="005A2BBB" w:rsidRDefault="00641E4E" w:rsidP="005A2BBB">
      <w:pPr>
        <w:jc w:val="center"/>
      </w:pP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Понятие затрат. Принцип соответствия доходов и расходов.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Классификация затрат в целях принятия решений и планирова</w:t>
      </w:r>
      <w:r w:rsidR="005A2BBB">
        <w:t>ния (по элеме</w:t>
      </w:r>
      <w:r w:rsidR="005A2BBB">
        <w:t>н</w:t>
      </w:r>
      <w:r w:rsidR="005A2BBB">
        <w:t>там, по статьям, по отношению к объекту учета, принимаемые и не принимаемые во вним</w:t>
      </w:r>
      <w:r w:rsidR="005A2BBB">
        <w:t>а</w:t>
      </w:r>
      <w:r w:rsidR="005A2BBB">
        <w:t>ние, приростные и предельные, регулируемые и нерегулируемые, планируемые и фа</w:t>
      </w:r>
      <w:r w:rsidR="005A2BBB">
        <w:t>к</w:t>
      </w:r>
      <w:r w:rsidR="005A2BBB">
        <w:t>тические, производительные и непроизводительные)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Переменные и постоянные затраты</w:t>
      </w:r>
      <w:r w:rsidR="005A2BBB">
        <w:t>.</w:t>
      </w:r>
      <w:r w:rsidR="005A2BBB" w:rsidRPr="005A2BBB">
        <w:t xml:space="preserve"> Коэффициент реагирования затрат</w:t>
      </w:r>
      <w:r w:rsidRPr="005A2BBB">
        <w:t xml:space="preserve">. </w:t>
      </w:r>
      <w:r w:rsidR="005A2BBB">
        <w:t>Методы разделения затрат на переменные и постоянные</w:t>
      </w:r>
      <w:r w:rsidRPr="005A2BBB">
        <w:t>.</w:t>
      </w:r>
      <w:r w:rsidR="005A2BBB">
        <w:t xml:space="preserve"> 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 xml:space="preserve">Понятие </w:t>
      </w:r>
      <w:r w:rsidR="005A2BBB">
        <w:t>и виды калькулирования (представленные в схеме</w:t>
      </w:r>
      <w:r w:rsidRPr="005A2BBB">
        <w:t>).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Три вида себестоимости</w:t>
      </w:r>
      <w:r w:rsidR="005A2BBB">
        <w:t>: состав, особенности составления отчетов</w:t>
      </w:r>
      <w:r w:rsidRPr="005A2BBB">
        <w:t>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Система «Директ-костинг».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Отчет о прибылях и убытках в стандартной форме и по системе «Директ-костинг».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>Отличия в заполнении формы № 2 и оценке запасов при учете полной и произво</w:t>
      </w:r>
      <w:r w:rsidRPr="005A2BBB">
        <w:t>д</w:t>
      </w:r>
      <w:r w:rsidRPr="005A2BBB">
        <w:t>ственной себестоимости.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284"/>
        </w:tabs>
        <w:ind w:left="0" w:firstLine="0"/>
      </w:pPr>
      <w:r w:rsidRPr="005A2BBB">
        <w:t xml:space="preserve"> Фактический и нормативный методы учета затрат: сущность и основные отл</w:t>
      </w:r>
      <w:r w:rsidRPr="005A2BBB">
        <w:t>и</w:t>
      </w:r>
      <w:r w:rsidRPr="005A2BBB">
        <w:t>чия.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Принципы нормативного метода учета затрат. Ведение счета № 40 как возмо</w:t>
      </w:r>
      <w:r w:rsidRPr="005A2BBB">
        <w:t>ж</w:t>
      </w:r>
      <w:r w:rsidRPr="005A2BBB">
        <w:t>ность анализа отклонений себестоимости.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Система «</w:t>
      </w:r>
      <w:proofErr w:type="spellStart"/>
      <w:r w:rsidRPr="005A2BBB">
        <w:t>стандарт-кост</w:t>
      </w:r>
      <w:proofErr w:type="spellEnd"/>
      <w:r w:rsidRPr="005A2BBB">
        <w:t>»: нормативная калькуляция и расчет отклонений.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Метод</w:t>
      </w:r>
      <w:r w:rsidR="005A2BBB">
        <w:t xml:space="preserve"> безубыточности: математический,</w:t>
      </w:r>
      <w:r w:rsidRPr="005A2BBB">
        <w:t xml:space="preserve"> маржинальный</w:t>
      </w:r>
      <w:r w:rsidR="005A2BBB">
        <w:t xml:space="preserve"> и графический</w:t>
      </w:r>
      <w:r w:rsidRPr="005A2BBB">
        <w:t xml:space="preserve"> спос</w:t>
      </w:r>
      <w:r w:rsidRPr="005A2BBB">
        <w:t>о</w:t>
      </w:r>
      <w:r w:rsidRPr="005A2BBB">
        <w:t>бы расчета ТБ.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Методы расчета цены: четыре способа вычисления наценки.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Планирование оптимальной цены продажи, функция цены.</w:t>
      </w:r>
    </w:p>
    <w:p w:rsidR="00641E4E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Зависимость ценовых решений от выбранного периода времени: долгосро</w:t>
      </w:r>
      <w:r w:rsidRPr="005A2BBB">
        <w:t>ч</w:t>
      </w:r>
      <w:r w:rsidRPr="005A2BBB">
        <w:t>ный и краткосрочный нижний пределы цены.</w:t>
      </w:r>
    </w:p>
    <w:p w:rsidR="005A2BBB" w:rsidRPr="005A2BBB" w:rsidRDefault="005A2BBB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>
        <w:t>Учет налогового фактора при ценообразовании.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Планирование ассортимента продукции: основные этапы, главный критерий о</w:t>
      </w:r>
      <w:r w:rsidRPr="005A2BBB">
        <w:t>п</w:t>
      </w:r>
      <w:r w:rsidRPr="005A2BBB">
        <w:t>тимизации.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Анализ целесообразности собственного производства и закупок на стороне.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ind w:left="0" w:firstLine="0"/>
      </w:pPr>
      <w:r w:rsidRPr="005A2BBB">
        <w:t>Анализ альтернатив выбора производственных ресурсов предприятия.</w:t>
      </w:r>
    </w:p>
    <w:p w:rsidR="00641E4E" w:rsidRPr="005A2BBB" w:rsidRDefault="00641E4E" w:rsidP="007F6CE6">
      <w:pPr>
        <w:numPr>
          <w:ilvl w:val="0"/>
          <w:numId w:val="1"/>
        </w:numPr>
        <w:tabs>
          <w:tab w:val="clear" w:pos="1044"/>
          <w:tab w:val="left" w:pos="0"/>
          <w:tab w:val="left" w:pos="284"/>
        </w:tabs>
        <w:spacing w:line="276" w:lineRule="auto"/>
        <w:ind w:left="0" w:firstLine="0"/>
      </w:pPr>
      <w:r w:rsidRPr="005A2BBB">
        <w:t>Анализ убытков предприятия в связи с неполной загрузкой производственных мощностей.</w:t>
      </w:r>
    </w:p>
    <w:sectPr w:rsidR="00641E4E" w:rsidRPr="005A2BBB" w:rsidSect="007F6CE6">
      <w:type w:val="continuous"/>
      <w:pgSz w:w="11906" w:h="16838" w:code="9"/>
      <w:pgMar w:top="568" w:right="566" w:bottom="284" w:left="1134" w:header="1134" w:footer="1134" w:gutter="0"/>
      <w:cols w:space="720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5E2"/>
    <w:multiLevelType w:val="hybridMultilevel"/>
    <w:tmpl w:val="7986692C"/>
    <w:lvl w:ilvl="0" w:tplc="18B0890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284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6B05C4"/>
    <w:rsid w:val="00147285"/>
    <w:rsid w:val="00162390"/>
    <w:rsid w:val="001635CC"/>
    <w:rsid w:val="001A57FF"/>
    <w:rsid w:val="002751A9"/>
    <w:rsid w:val="002B3F41"/>
    <w:rsid w:val="00453E47"/>
    <w:rsid w:val="004A450E"/>
    <w:rsid w:val="004B650D"/>
    <w:rsid w:val="005A2BBB"/>
    <w:rsid w:val="005A4AA0"/>
    <w:rsid w:val="00641E4E"/>
    <w:rsid w:val="00694B8B"/>
    <w:rsid w:val="006B05C4"/>
    <w:rsid w:val="006B1E36"/>
    <w:rsid w:val="00737DB7"/>
    <w:rsid w:val="00782B94"/>
    <w:rsid w:val="007F6CE6"/>
    <w:rsid w:val="00925ADF"/>
    <w:rsid w:val="00931B5F"/>
    <w:rsid w:val="00975AFF"/>
    <w:rsid w:val="009B0385"/>
    <w:rsid w:val="00A77321"/>
    <w:rsid w:val="00AC5E15"/>
    <w:rsid w:val="00C54C3B"/>
    <w:rsid w:val="00CD4B68"/>
    <w:rsid w:val="00D77BA4"/>
    <w:rsid w:val="00D81688"/>
    <w:rsid w:val="00DB414D"/>
    <w:rsid w:val="00EA0AAE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AE"/>
    <w:rPr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3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bCs/>
      <w:color w:val="000000"/>
      <w:spacing w:val="-3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Company>bgue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на зачет по дисциплине «Управление затратами»</dc:title>
  <dc:creator>GoryachevaSU</dc:creator>
  <cp:lastModifiedBy>Уверенный user</cp:lastModifiedBy>
  <cp:revision>3</cp:revision>
  <cp:lastPrinted>2014-05-20T23:27:00Z</cp:lastPrinted>
  <dcterms:created xsi:type="dcterms:W3CDTF">2014-05-20T23:23:00Z</dcterms:created>
  <dcterms:modified xsi:type="dcterms:W3CDTF">2014-05-20T23:29:00Z</dcterms:modified>
</cp:coreProperties>
</file>